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58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tblStyle w:val="Style_1"/>
              <w:tblW w:type="auto" w:w="0"/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9158"/>
            </w:tblGrid>
            <w:tr>
              <w:tc>
                <w:tcPr>
                  <w:tcW w:type="dxa" w:w="9158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 w14:paraId="04000000">
                  <w:pPr>
                    <w:spacing w:after="0" w:before="0"/>
                    <w:ind w:firstLine="0" w:left="0" w:right="0"/>
                    <w:jc w:val="both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1"/>
                      <w:sz w:val="28"/>
                    </w:rPr>
                    <w:t>Актуализирован Стандарт оказания услуги по протезированию  инвалидов</w:t>
                  </w:r>
                  <w:r>
                    <w:rPr>
                      <w:rFonts w:ascii="Times New Roman" w:hAnsi="Times New Roman"/>
                      <w:sz w:val="28"/>
                    </w:rPr>
                    <w:br/>
                  </w:r>
                </w:p>
              </w:tc>
            </w:tr>
          </w:tbl>
          <w:p w14:paraId="05000000"/>
        </w:tc>
      </w:tr>
    </w:tbl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7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8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Приказом Минтруда России от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08.04.2026 N 139н "О внесении изменений в Стандарт оказания услуги по протезированию инвалидов, утвержденный приказом Министерства труда и социальной защиты Российской Федерации от 18 июня 2025 г. N 382н" (Зарегистрировано в Минюсте России 12.05.2026 N 86411)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Дополнен перечень целевых реабилитационных групп инвалидов, в отношении которых применяется стандарт. </w:t>
      </w:r>
      <w:r>
        <w:rPr>
          <w:rFonts w:ascii="Times New Roman" w:hAnsi="Times New Roman"/>
          <w:b w:val="0"/>
          <w:sz w:val="28"/>
        </w:rPr>
        <w:t>Стандарт, утвержденный приказом Минтруда от 18 июня 2025 года N 382н, приведен в соответствие с Федеральным законом от 25 декабря 2023 года N 651-ФЗ "О внесении изменений в отдельные законодательные акты Российской Федерации".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В новой редакции изложены перечень специалистов, привлекаемых к реализации услуги, предусмотренной стандартом, и перечень мероприятий, входящих в состав услуги, предусмотренной стандартом.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Определено содержание мероприятий, входящих в состав: услуги по глазному протезированию; услуги по протезированию поврежденных (утраченных) сегментов головы; услуги по протезированию экзопротезом молочной железы.</w:t>
      </w:r>
    </w:p>
    <w:p w14:paraId="0C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Закреплены перечни оснащения, применяемого при глазном протезировании; протезировании поврежденных (утраченных) сегментов головы и протезировании экзопротезом молочной железы.</w:t>
      </w:r>
    </w:p>
    <w:p w14:paraId="0D000000">
      <w:pPr>
        <w:widowControl w:val="1"/>
        <w:spacing w:after="0" w:before="0" w:line="240" w:lineRule="auto"/>
        <w:ind w:firstLine="0" w:left="0" w:right="0"/>
        <w:jc w:val="both"/>
        <w:rPr>
          <w:b w:val="0"/>
        </w:rPr>
      </w:pPr>
    </w:p>
    <w:p w14:paraId="0E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F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10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1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3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2026-05-21T15:32:15Z</dcterms:modified>
</cp:coreProperties>
</file>